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88C" w:rsidRPr="00DE602D" w:rsidRDefault="00C3588C" w:rsidP="00C3588C">
      <w:pPr>
        <w:jc w:val="both"/>
        <w:rPr>
          <w:rFonts w:eastAsia="Times New Roman" w:cs="Calibri"/>
          <w:b/>
          <w:color w:val="000000" w:themeColor="text1"/>
        </w:rPr>
      </w:pPr>
      <w:r w:rsidRPr="00DE602D">
        <w:rPr>
          <w:rFonts w:eastAsia="Times New Roman" w:cs="Calibri"/>
          <w:b/>
          <w:color w:val="000000" w:themeColor="text1"/>
        </w:rPr>
        <w:t xml:space="preserve">Monitoraggio </w:t>
      </w:r>
      <w:proofErr w:type="spellStart"/>
      <w:r w:rsidRPr="00DE602D">
        <w:rPr>
          <w:rFonts w:eastAsia="Times New Roman" w:cs="Calibri"/>
          <w:b/>
          <w:color w:val="000000" w:themeColor="text1"/>
        </w:rPr>
        <w:t>idrossiclorochina</w:t>
      </w:r>
      <w:proofErr w:type="spellEnd"/>
      <w:r w:rsidRPr="00DE602D">
        <w:rPr>
          <w:rFonts w:eastAsia="Times New Roman" w:cs="Calibri"/>
          <w:b/>
          <w:color w:val="000000" w:themeColor="text1"/>
        </w:rPr>
        <w:t xml:space="preserve"> All.2</w:t>
      </w:r>
    </w:p>
    <w:p w:rsidR="00C3588C" w:rsidRPr="00DE602D" w:rsidRDefault="00C3588C" w:rsidP="00C3588C">
      <w:pPr>
        <w:jc w:val="both"/>
        <w:rPr>
          <w:rFonts w:eastAsia="Times New Roman" w:cs="Calibri"/>
          <w:b/>
          <w:color w:val="000000" w:themeColor="text1"/>
        </w:rPr>
      </w:pPr>
      <w:r w:rsidRPr="00DE602D">
        <w:rPr>
          <w:rFonts w:eastAsia="Times New Roman" w:cs="Calibri"/>
          <w:b/>
          <w:color w:val="000000" w:themeColor="text1"/>
        </w:rPr>
        <w:t xml:space="preserve">Estratto della Raccomandazione n. 1 “Indicazioni per la prescrizione ed erogazione </w:t>
      </w:r>
      <w:r w:rsidR="002B43D6" w:rsidRPr="00DE602D">
        <w:rPr>
          <w:rFonts w:eastAsia="Times New Roman" w:cs="Calibri"/>
          <w:b/>
          <w:color w:val="000000" w:themeColor="text1"/>
        </w:rPr>
        <w:t>medicinale IDROSSICLOROCHINA</w:t>
      </w:r>
      <w:r w:rsidRPr="00DE602D">
        <w:rPr>
          <w:rFonts w:eastAsia="Times New Roman" w:cs="Calibri"/>
          <w:b/>
          <w:color w:val="000000" w:themeColor="text1"/>
        </w:rPr>
        <w:t xml:space="preserve"> ad uso domiciliare REV 01 del 15042020”</w:t>
      </w:r>
      <w:r w:rsidR="00377E10">
        <w:rPr>
          <w:rFonts w:eastAsia="Times New Roman" w:cs="Calibri"/>
          <w:b/>
          <w:color w:val="000000" w:themeColor="text1"/>
        </w:rPr>
        <w:t xml:space="preserve">, inviato con nota Alisa </w:t>
      </w:r>
      <w:proofErr w:type="spellStart"/>
      <w:r w:rsidR="00377E10">
        <w:rPr>
          <w:rFonts w:eastAsia="Times New Roman" w:cs="Calibri"/>
          <w:b/>
          <w:color w:val="000000" w:themeColor="text1"/>
        </w:rPr>
        <w:t>prot</w:t>
      </w:r>
      <w:proofErr w:type="spellEnd"/>
      <w:r w:rsidR="00377E10">
        <w:rPr>
          <w:rFonts w:eastAsia="Times New Roman" w:cs="Calibri"/>
          <w:b/>
          <w:color w:val="000000" w:themeColor="text1"/>
        </w:rPr>
        <w:t>. n. 10665 del 20/04/2020</w:t>
      </w:r>
    </w:p>
    <w:p w:rsidR="00C3588C" w:rsidRPr="0048039C" w:rsidRDefault="00C3588C" w:rsidP="00C3588C">
      <w:pPr>
        <w:jc w:val="both"/>
        <w:rPr>
          <w:rFonts w:eastAsia="Times New Roman" w:cs="Calibri"/>
          <w:i/>
          <w:color w:val="000000" w:themeColor="text1"/>
        </w:rPr>
      </w:pPr>
      <w:r w:rsidRPr="00C3588C">
        <w:rPr>
          <w:rFonts w:eastAsia="Times New Roman" w:cs="Calibri"/>
          <w:color w:val="000000" w:themeColor="text1"/>
        </w:rPr>
        <w:t>“</w:t>
      </w:r>
      <w:r w:rsidRPr="0048039C">
        <w:rPr>
          <w:rFonts w:eastAsia="Times New Roman" w:cs="Calibri"/>
          <w:i/>
          <w:color w:val="000000" w:themeColor="text1"/>
        </w:rPr>
        <w:t xml:space="preserve">I medici autorizzati all’utilizzo del ricettario regionale devono prescrivere il medicinale nel rispetto delle regole indicate nel presente documento approvate </w:t>
      </w:r>
      <w:r w:rsidRPr="0048039C">
        <w:rPr>
          <w:rFonts w:cs="Calibri"/>
          <w:i/>
          <w:color w:val="000000" w:themeColor="text1"/>
        </w:rPr>
        <w:t xml:space="preserve">dal Gruppo di Coordinamento per la terapia </w:t>
      </w:r>
      <w:r w:rsidRPr="0048039C">
        <w:rPr>
          <w:rFonts w:eastAsia="Times New Roman" w:cs="Calibri"/>
          <w:i/>
          <w:color w:val="000000" w:themeColor="text1"/>
        </w:rPr>
        <w:t>farmacologica COVID-19 in ambito domiciliare (Delibera di A.Li.Sa. n. 124 del 03.04.2020</w:t>
      </w:r>
      <w:proofErr w:type="gramStart"/>
      <w:r w:rsidRPr="0048039C">
        <w:rPr>
          <w:rFonts w:eastAsia="Times New Roman" w:cs="Calibri"/>
          <w:i/>
          <w:color w:val="000000" w:themeColor="text1"/>
        </w:rPr>
        <w:t>) .</w:t>
      </w:r>
      <w:proofErr w:type="gramEnd"/>
    </w:p>
    <w:p w:rsidR="00C3588C" w:rsidRPr="0048039C" w:rsidRDefault="00C3588C" w:rsidP="00C3588C">
      <w:pPr>
        <w:pStyle w:val="PreformattatoHTML"/>
        <w:spacing w:line="276" w:lineRule="auto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48039C">
        <w:rPr>
          <w:rFonts w:ascii="Calibri" w:hAnsi="Calibri" w:cs="Calibri"/>
          <w:i/>
          <w:color w:val="000000" w:themeColor="text1"/>
          <w:sz w:val="22"/>
          <w:szCs w:val="22"/>
        </w:rPr>
        <w:t xml:space="preserve">Il medico </w:t>
      </w:r>
      <w:proofErr w:type="spellStart"/>
      <w:r w:rsidRPr="0048039C">
        <w:rPr>
          <w:rFonts w:ascii="Calibri" w:hAnsi="Calibri" w:cs="Calibri"/>
          <w:i/>
          <w:color w:val="000000" w:themeColor="text1"/>
          <w:sz w:val="22"/>
          <w:szCs w:val="22"/>
        </w:rPr>
        <w:t>prescrittore</w:t>
      </w:r>
      <w:proofErr w:type="spellEnd"/>
      <w:r w:rsidRPr="0048039C">
        <w:rPr>
          <w:rFonts w:ascii="Calibri" w:hAnsi="Calibri" w:cs="Calibri"/>
          <w:i/>
          <w:color w:val="000000" w:themeColor="text1"/>
          <w:sz w:val="22"/>
          <w:szCs w:val="22"/>
        </w:rPr>
        <w:t xml:space="preserve"> deve conoscere le informazioni fornite da AIFA e pubblicate sul sito internet al link: </w:t>
      </w:r>
      <w:hyperlink r:id="rId7" w:history="1">
        <w:r w:rsidRPr="0048039C">
          <w:rPr>
            <w:rStyle w:val="Collegamentoipertestuale"/>
            <w:rFonts w:ascii="Calibri" w:hAnsi="Calibri" w:cs="Calibri"/>
            <w:i/>
            <w:color w:val="000000" w:themeColor="text1"/>
            <w:sz w:val="22"/>
            <w:szCs w:val="22"/>
            <w:lang w:eastAsia="en-US"/>
          </w:rPr>
          <w:t>https://www.aifa.gov.it/emergenza-covid-19</w:t>
        </w:r>
      </w:hyperlink>
      <w:r w:rsidRPr="0048039C">
        <w:rPr>
          <w:rFonts w:ascii="Calibri" w:hAnsi="Calibri" w:cs="Calibri"/>
          <w:i/>
          <w:color w:val="000000" w:themeColor="text1"/>
          <w:sz w:val="22"/>
          <w:szCs w:val="22"/>
          <w:lang w:eastAsia="en-US"/>
        </w:rPr>
        <w:t xml:space="preserve"> e le </w:t>
      </w:r>
      <w:r w:rsidRPr="0048039C">
        <w:rPr>
          <w:rFonts w:ascii="Calibri" w:hAnsi="Calibri" w:cs="Calibri"/>
          <w:i/>
          <w:color w:val="000000" w:themeColor="text1"/>
          <w:sz w:val="22"/>
          <w:szCs w:val="22"/>
        </w:rPr>
        <w:t xml:space="preserve">specifiche tecniche fornite da AIFA in data 02.04.2020 </w:t>
      </w:r>
    </w:p>
    <w:p w:rsidR="00C3588C" w:rsidRPr="0048039C" w:rsidRDefault="00C3588C" w:rsidP="00C3588C">
      <w:pPr>
        <w:jc w:val="both"/>
        <w:rPr>
          <w:i/>
          <w:color w:val="000000" w:themeColor="text1"/>
          <w:u w:val="single"/>
        </w:rPr>
      </w:pPr>
      <w:r w:rsidRPr="0048039C">
        <w:rPr>
          <w:i/>
          <w:color w:val="000000" w:themeColor="text1"/>
          <w:u w:val="single"/>
        </w:rPr>
        <w:t>L’utilizzo approvato è da intendersi unicamente per il trattamento e non per la profilassi del COVID-19.</w:t>
      </w:r>
    </w:p>
    <w:p w:rsidR="00C3588C" w:rsidRPr="0048039C" w:rsidRDefault="00C3588C" w:rsidP="00C3588C">
      <w:pPr>
        <w:jc w:val="both"/>
        <w:rPr>
          <w:i/>
          <w:color w:val="000000" w:themeColor="text1"/>
        </w:rPr>
      </w:pPr>
      <w:r w:rsidRPr="0048039C">
        <w:rPr>
          <w:rFonts w:eastAsia="Times New Roman"/>
          <w:i/>
          <w:color w:val="000000" w:themeColor="text1"/>
        </w:rPr>
        <w:t xml:space="preserve">Trattandosi di utilizzo di medicinale al di fuori delle indicazioni autorizzate (off </w:t>
      </w:r>
      <w:proofErr w:type="spellStart"/>
      <w:r w:rsidRPr="0048039C">
        <w:rPr>
          <w:rFonts w:eastAsia="Times New Roman"/>
          <w:i/>
          <w:color w:val="000000" w:themeColor="text1"/>
        </w:rPr>
        <w:t>label</w:t>
      </w:r>
      <w:proofErr w:type="spellEnd"/>
      <w:r w:rsidRPr="0048039C">
        <w:rPr>
          <w:rFonts w:eastAsia="Times New Roman"/>
          <w:i/>
          <w:color w:val="000000" w:themeColor="text1"/>
        </w:rPr>
        <w:t xml:space="preserve">) il medico </w:t>
      </w:r>
      <w:proofErr w:type="spellStart"/>
      <w:r w:rsidRPr="0048039C">
        <w:rPr>
          <w:rFonts w:eastAsia="Times New Roman"/>
          <w:i/>
          <w:color w:val="000000" w:themeColor="text1"/>
        </w:rPr>
        <w:t>prescrittore</w:t>
      </w:r>
      <w:proofErr w:type="spellEnd"/>
      <w:r w:rsidRPr="0048039C">
        <w:rPr>
          <w:rFonts w:eastAsia="Times New Roman"/>
          <w:i/>
          <w:color w:val="000000" w:themeColor="text1"/>
        </w:rPr>
        <w:t xml:space="preserve"> deve acquisire </w:t>
      </w:r>
      <w:r w:rsidRPr="0048039C">
        <w:rPr>
          <w:rFonts w:eastAsia="Times New Roman"/>
          <w:b/>
          <w:i/>
          <w:color w:val="000000" w:themeColor="text1"/>
        </w:rPr>
        <w:t>il consenso informato</w:t>
      </w:r>
      <w:r w:rsidRPr="0048039C">
        <w:rPr>
          <w:rFonts w:eastAsia="Times New Roman"/>
          <w:i/>
          <w:color w:val="000000" w:themeColor="text1"/>
        </w:rPr>
        <w:t xml:space="preserve"> del paziente. L’acquisizione del consenso</w:t>
      </w:r>
      <w:r w:rsidRPr="0048039C">
        <w:rPr>
          <w:i/>
          <w:color w:val="000000" w:themeColor="text1"/>
        </w:rPr>
        <w:t xml:space="preserve"> (in forma verbale o scritta) deve risultare dalla cartella clinica del paziente.</w:t>
      </w:r>
    </w:p>
    <w:p w:rsidR="00C3588C" w:rsidRPr="0048039C" w:rsidRDefault="00C3588C" w:rsidP="00C3588C">
      <w:pPr>
        <w:pStyle w:val="Titolo2"/>
        <w:spacing w:after="0"/>
        <w:jc w:val="both"/>
        <w:rPr>
          <w:rFonts w:ascii="Calibri" w:eastAsia="Calibri" w:hAnsi="Calibri"/>
          <w:b w:val="0"/>
          <w:bCs w:val="0"/>
          <w:color w:val="000000" w:themeColor="text1"/>
          <w:sz w:val="22"/>
          <w:szCs w:val="22"/>
        </w:rPr>
      </w:pPr>
      <w:r w:rsidRPr="0048039C">
        <w:rPr>
          <w:rFonts w:ascii="Calibri" w:eastAsia="Calibri" w:hAnsi="Calibri"/>
          <w:b w:val="0"/>
          <w:bCs w:val="0"/>
          <w:color w:val="000000" w:themeColor="text1"/>
          <w:sz w:val="22"/>
          <w:szCs w:val="22"/>
        </w:rPr>
        <w:t>La clorochina e l'</w:t>
      </w:r>
      <w:proofErr w:type="spellStart"/>
      <w:r w:rsidRPr="0048039C">
        <w:rPr>
          <w:rFonts w:ascii="Calibri" w:eastAsia="Calibri" w:hAnsi="Calibri"/>
          <w:b w:val="0"/>
          <w:bCs w:val="0"/>
          <w:color w:val="000000" w:themeColor="text1"/>
          <w:sz w:val="22"/>
          <w:szCs w:val="22"/>
        </w:rPr>
        <w:t>idrossiclorochina</w:t>
      </w:r>
      <w:proofErr w:type="spellEnd"/>
      <w:r w:rsidRPr="0048039C">
        <w:rPr>
          <w:rFonts w:ascii="Calibri" w:eastAsia="Calibri" w:hAnsi="Calibri"/>
          <w:b w:val="0"/>
          <w:bCs w:val="0"/>
          <w:color w:val="000000" w:themeColor="text1"/>
          <w:sz w:val="22"/>
          <w:szCs w:val="22"/>
        </w:rPr>
        <w:t xml:space="preserve"> sono medicinali autorizzati fin dalla seconda metà del XX secolo come antimalarici, ma attualmente sono utilizzati principalmente nel trattamento di malattie autoimmuni come il lupus </w:t>
      </w:r>
      <w:proofErr w:type="spellStart"/>
      <w:r w:rsidRPr="0048039C">
        <w:rPr>
          <w:rFonts w:ascii="Calibri" w:eastAsia="Calibri" w:hAnsi="Calibri"/>
          <w:b w:val="0"/>
          <w:bCs w:val="0"/>
          <w:color w:val="000000" w:themeColor="text1"/>
          <w:sz w:val="22"/>
          <w:szCs w:val="22"/>
        </w:rPr>
        <w:t>eritematosus</w:t>
      </w:r>
      <w:proofErr w:type="spellEnd"/>
      <w:r w:rsidRPr="0048039C">
        <w:rPr>
          <w:rFonts w:ascii="Calibri" w:eastAsia="Calibri" w:hAnsi="Calibri"/>
          <w:b w:val="0"/>
          <w:bCs w:val="0"/>
          <w:color w:val="000000" w:themeColor="text1"/>
          <w:sz w:val="22"/>
          <w:szCs w:val="22"/>
        </w:rPr>
        <w:t xml:space="preserve"> o l’artrite reumatoide. Negli studi di laboratorio essi hanno dimostrato di possedere un’attività contro i coronavirus, incluso SARS-CoV-2 (il virus che causa COVID-19). Osservazioni cliniche preliminari suggeriscono che questi farmaci potrebbero offrire benefici nel trattamento di pazienti affetti da infezione da SARS-CoV2, ma sono necessari studi clinici per raccogliere prove definitive sulla reale efficacia di questi trattamenti. In Italia, il loro utilizzo per il trattamento dei pazienti affetti da infezione da SARS-CoV2 è stato autorizzato a totale carico del Servizio Sanitario Nazionale con Determinazione AIFA del 17 marzo 2020.</w:t>
      </w:r>
    </w:p>
    <w:p w:rsidR="00C3588C" w:rsidRPr="0048039C" w:rsidRDefault="00C3588C" w:rsidP="00C3588C">
      <w:pPr>
        <w:jc w:val="both"/>
        <w:rPr>
          <w:i/>
          <w:color w:val="000000" w:themeColor="text1"/>
        </w:rPr>
      </w:pPr>
      <w:r w:rsidRPr="0048039C">
        <w:rPr>
          <w:i/>
          <w:color w:val="000000" w:themeColor="text1"/>
          <w:u w:val="thick"/>
        </w:rPr>
        <w:t>L’utilizzo approvato è da intendersi unicamente per il trattamento e non per la profilassi del COVID-19</w:t>
      </w:r>
      <w:r w:rsidRPr="0048039C">
        <w:rPr>
          <w:i/>
          <w:color w:val="000000" w:themeColor="text1"/>
        </w:rPr>
        <w:t>.</w:t>
      </w:r>
    </w:p>
    <w:p w:rsidR="00C3588C" w:rsidRPr="0048039C" w:rsidRDefault="00C3588C" w:rsidP="00C3588C">
      <w:pPr>
        <w:jc w:val="both"/>
        <w:rPr>
          <w:i/>
          <w:color w:val="000000" w:themeColor="text1"/>
        </w:rPr>
      </w:pPr>
      <w:r w:rsidRPr="0048039C">
        <w:rPr>
          <w:i/>
          <w:color w:val="000000" w:themeColor="text1"/>
        </w:rPr>
        <w:t xml:space="preserve">Sono stati riportati recentemente casi di </w:t>
      </w:r>
      <w:proofErr w:type="spellStart"/>
      <w:r w:rsidRPr="0048039C">
        <w:rPr>
          <w:i/>
          <w:color w:val="000000" w:themeColor="text1"/>
        </w:rPr>
        <w:t>cardiotossicità</w:t>
      </w:r>
      <w:proofErr w:type="spellEnd"/>
      <w:r w:rsidRPr="0048039C">
        <w:rPr>
          <w:i/>
          <w:color w:val="000000" w:themeColor="text1"/>
        </w:rPr>
        <w:t>, con particolare riguardo al prolungamento dell’intervallo QT, un effetto avverso noto per questa categoria di medicinali, osservati durante l’utilizzo nella terapia dei pazienti affetti da COVID-19 a livello mondiale.</w:t>
      </w:r>
    </w:p>
    <w:p w:rsidR="00C3588C" w:rsidRPr="0048039C" w:rsidRDefault="00C3588C" w:rsidP="00C3588C">
      <w:pPr>
        <w:spacing w:before="100" w:beforeAutospacing="1" w:after="100" w:afterAutospacing="1"/>
        <w:jc w:val="both"/>
        <w:rPr>
          <w:i/>
          <w:color w:val="000000" w:themeColor="text1"/>
        </w:rPr>
      </w:pPr>
      <w:r w:rsidRPr="0048039C">
        <w:rPr>
          <w:i/>
          <w:color w:val="000000" w:themeColor="text1"/>
        </w:rPr>
        <w:t>Prima della prescrizione si richiama l’attenzione ad una attenta valutazione del paziente, in particolare nei seguenti casi:</w:t>
      </w:r>
    </w:p>
    <w:p w:rsidR="00C3588C" w:rsidRPr="0048039C" w:rsidRDefault="00C3588C" w:rsidP="00C3588C">
      <w:pPr>
        <w:pStyle w:val="Paragrafoelenco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i/>
          <w:color w:val="000000" w:themeColor="text1"/>
        </w:rPr>
      </w:pPr>
      <w:proofErr w:type="gramStart"/>
      <w:r w:rsidRPr="0048039C">
        <w:rPr>
          <w:i/>
          <w:color w:val="000000" w:themeColor="text1"/>
        </w:rPr>
        <w:t>disturbi</w:t>
      </w:r>
      <w:proofErr w:type="gramEnd"/>
      <w:r w:rsidRPr="0048039C">
        <w:rPr>
          <w:i/>
          <w:color w:val="000000" w:themeColor="text1"/>
        </w:rPr>
        <w:t xml:space="preserve"> della conduzione cardiaca, sindrome QT lungo, </w:t>
      </w:r>
      <w:proofErr w:type="spellStart"/>
      <w:r w:rsidRPr="0048039C">
        <w:rPr>
          <w:i/>
          <w:color w:val="000000" w:themeColor="text1"/>
        </w:rPr>
        <w:t>ipopotassiemia</w:t>
      </w:r>
      <w:proofErr w:type="spellEnd"/>
      <w:r w:rsidRPr="0048039C">
        <w:rPr>
          <w:i/>
          <w:color w:val="000000" w:themeColor="text1"/>
        </w:rPr>
        <w:t xml:space="preserve">, </w:t>
      </w:r>
      <w:proofErr w:type="spellStart"/>
      <w:r w:rsidRPr="0048039C">
        <w:rPr>
          <w:i/>
          <w:color w:val="000000" w:themeColor="text1"/>
        </w:rPr>
        <w:t>ipomagnesiemia</w:t>
      </w:r>
      <w:proofErr w:type="spellEnd"/>
      <w:r w:rsidRPr="0048039C">
        <w:rPr>
          <w:i/>
          <w:color w:val="000000" w:themeColor="text1"/>
        </w:rPr>
        <w:t>; in caso di comparsa di aritmie sono indicati sospensione del trattamento e rivalutazione con ECG</w:t>
      </w:r>
    </w:p>
    <w:p w:rsidR="00C3588C" w:rsidRPr="0048039C" w:rsidRDefault="00C3588C" w:rsidP="00C3588C">
      <w:pPr>
        <w:pStyle w:val="Paragrafoelenco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i/>
          <w:color w:val="000000" w:themeColor="text1"/>
        </w:rPr>
      </w:pPr>
      <w:proofErr w:type="gramStart"/>
      <w:r w:rsidRPr="0048039C">
        <w:rPr>
          <w:i/>
          <w:color w:val="000000" w:themeColor="text1"/>
        </w:rPr>
        <w:t>carenza</w:t>
      </w:r>
      <w:proofErr w:type="gramEnd"/>
      <w:r w:rsidRPr="0048039C">
        <w:rPr>
          <w:i/>
          <w:color w:val="000000" w:themeColor="text1"/>
        </w:rPr>
        <w:t xml:space="preserve"> di glucosio-6-fosfato deidrogenasi (favismo) </w:t>
      </w:r>
    </w:p>
    <w:p w:rsidR="00C3588C" w:rsidRPr="0048039C" w:rsidRDefault="00C3588C" w:rsidP="00C3588C">
      <w:pPr>
        <w:pStyle w:val="Paragrafoelenco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i/>
          <w:color w:val="000000" w:themeColor="text1"/>
        </w:rPr>
      </w:pPr>
      <w:proofErr w:type="gramStart"/>
      <w:r w:rsidRPr="0048039C">
        <w:rPr>
          <w:i/>
          <w:color w:val="000000" w:themeColor="text1"/>
        </w:rPr>
        <w:t>presenza</w:t>
      </w:r>
      <w:proofErr w:type="gramEnd"/>
      <w:r w:rsidRPr="0048039C">
        <w:rPr>
          <w:i/>
          <w:color w:val="000000" w:themeColor="text1"/>
        </w:rPr>
        <w:t xml:space="preserve"> di altre terapie concomitanti </w:t>
      </w:r>
    </w:p>
    <w:p w:rsidR="00C3588C" w:rsidRPr="0048039C" w:rsidRDefault="00C3588C" w:rsidP="00C3588C">
      <w:pPr>
        <w:pStyle w:val="Paragrafoelenco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i/>
          <w:color w:val="000000" w:themeColor="text1"/>
        </w:rPr>
      </w:pPr>
      <w:proofErr w:type="gramStart"/>
      <w:r w:rsidRPr="0048039C">
        <w:rPr>
          <w:i/>
          <w:color w:val="000000" w:themeColor="text1"/>
        </w:rPr>
        <w:t>insufficienza</w:t>
      </w:r>
      <w:proofErr w:type="gramEnd"/>
      <w:r w:rsidRPr="0048039C">
        <w:rPr>
          <w:i/>
          <w:color w:val="000000" w:themeColor="text1"/>
        </w:rPr>
        <w:t xml:space="preserve"> epatica o renale (se IR grave con filtrato sotto 30 ml/m: abbassare le dosi)</w:t>
      </w:r>
    </w:p>
    <w:p w:rsidR="00C3588C" w:rsidRPr="0048039C" w:rsidRDefault="00C3588C" w:rsidP="00C3588C">
      <w:pPr>
        <w:pStyle w:val="Paragrafoelenco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i/>
          <w:color w:val="000000" w:themeColor="text1"/>
        </w:rPr>
      </w:pPr>
      <w:proofErr w:type="gramStart"/>
      <w:r w:rsidRPr="0048039C">
        <w:rPr>
          <w:i/>
          <w:color w:val="000000" w:themeColor="text1"/>
        </w:rPr>
        <w:t>diabete</w:t>
      </w:r>
      <w:proofErr w:type="gramEnd"/>
      <w:r w:rsidRPr="0048039C">
        <w:rPr>
          <w:i/>
          <w:color w:val="000000" w:themeColor="text1"/>
        </w:rPr>
        <w:t xml:space="preserve"> per il rischio ipoglicemia (rivedere dose degli antidiabetici)</w:t>
      </w:r>
    </w:p>
    <w:p w:rsidR="00C3588C" w:rsidRPr="0048039C" w:rsidRDefault="00C3588C" w:rsidP="00C3588C">
      <w:pPr>
        <w:pStyle w:val="Paragrafoelenco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i/>
          <w:color w:val="000000" w:themeColor="text1"/>
        </w:rPr>
      </w:pPr>
      <w:proofErr w:type="gramStart"/>
      <w:r w:rsidRPr="0048039C">
        <w:rPr>
          <w:i/>
          <w:color w:val="000000" w:themeColor="text1"/>
        </w:rPr>
        <w:t>concomitante</w:t>
      </w:r>
      <w:proofErr w:type="gramEnd"/>
      <w:r w:rsidRPr="0048039C">
        <w:rPr>
          <w:i/>
          <w:color w:val="000000" w:themeColor="text1"/>
        </w:rPr>
        <w:t xml:space="preserve"> uso di digossina (rischio intossicazione digitalica)</w:t>
      </w:r>
    </w:p>
    <w:p w:rsidR="00C3588C" w:rsidRPr="0048039C" w:rsidRDefault="00C3588C" w:rsidP="00C3588C">
      <w:pPr>
        <w:spacing w:before="100" w:beforeAutospacing="1" w:after="100" w:afterAutospacing="1"/>
        <w:jc w:val="both"/>
        <w:rPr>
          <w:i/>
          <w:color w:val="000000" w:themeColor="text1"/>
        </w:rPr>
      </w:pPr>
      <w:r w:rsidRPr="0048039C">
        <w:rPr>
          <w:i/>
          <w:color w:val="000000" w:themeColor="text1"/>
        </w:rPr>
        <w:t xml:space="preserve">Poiché le complicanze renali e cerebrali del trattamento con </w:t>
      </w:r>
      <w:proofErr w:type="spellStart"/>
      <w:r w:rsidRPr="0048039C">
        <w:rPr>
          <w:i/>
          <w:color w:val="000000" w:themeColor="text1"/>
        </w:rPr>
        <w:t>idrossiclorochina</w:t>
      </w:r>
      <w:proofErr w:type="spellEnd"/>
      <w:r w:rsidRPr="0048039C">
        <w:rPr>
          <w:i/>
          <w:color w:val="000000" w:themeColor="text1"/>
        </w:rPr>
        <w:t xml:space="preserve"> sono su base autoimmune/</w:t>
      </w:r>
      <w:proofErr w:type="spellStart"/>
      <w:r w:rsidRPr="0048039C">
        <w:rPr>
          <w:i/>
          <w:color w:val="000000" w:themeColor="text1"/>
        </w:rPr>
        <w:t>microtromboembolica</w:t>
      </w:r>
      <w:proofErr w:type="spellEnd"/>
      <w:r w:rsidRPr="0048039C">
        <w:rPr>
          <w:i/>
          <w:color w:val="000000" w:themeColor="text1"/>
        </w:rPr>
        <w:t xml:space="preserve"> è opportuno valutare l’opportunità di somministrare EBPM poiché si tratta spesso di pazienti anziani.</w:t>
      </w:r>
      <w:bookmarkStart w:id="0" w:name="_GoBack"/>
      <w:bookmarkEnd w:id="0"/>
    </w:p>
    <w:p w:rsidR="00C3588C" w:rsidRPr="0048039C" w:rsidRDefault="00C3588C" w:rsidP="00C3588C">
      <w:pPr>
        <w:spacing w:before="100" w:beforeAutospacing="1" w:after="100" w:afterAutospacing="1"/>
        <w:jc w:val="both"/>
        <w:rPr>
          <w:i/>
          <w:color w:val="000000" w:themeColor="text1"/>
        </w:rPr>
      </w:pPr>
      <w:r w:rsidRPr="0048039C">
        <w:rPr>
          <w:i/>
          <w:color w:val="000000" w:themeColor="text1"/>
        </w:rPr>
        <w:lastRenderedPageBreak/>
        <w:t xml:space="preserve">Pertanto, si raccomanda a tutti i </w:t>
      </w:r>
      <w:proofErr w:type="spellStart"/>
      <w:r w:rsidRPr="0048039C">
        <w:rPr>
          <w:i/>
          <w:color w:val="000000" w:themeColor="text1"/>
        </w:rPr>
        <w:t>prescrittori</w:t>
      </w:r>
      <w:proofErr w:type="spellEnd"/>
      <w:r w:rsidRPr="0048039C">
        <w:rPr>
          <w:i/>
          <w:color w:val="000000" w:themeColor="text1"/>
        </w:rPr>
        <w:t xml:space="preserve"> di attenersi alle avvertenze e precauzioni riportate nel Riassunto delle Caratteristiche del Prodotto di Clorochina Bayer (p.a. clorochina), di </w:t>
      </w:r>
      <w:proofErr w:type="spellStart"/>
      <w:r w:rsidRPr="0048039C">
        <w:rPr>
          <w:i/>
          <w:color w:val="000000" w:themeColor="text1"/>
        </w:rPr>
        <w:t>Plaquenil</w:t>
      </w:r>
      <w:proofErr w:type="spellEnd"/>
      <w:r w:rsidRPr="0048039C">
        <w:rPr>
          <w:i/>
          <w:color w:val="000000" w:themeColor="text1"/>
        </w:rPr>
        <w:t xml:space="preserve"> e </w:t>
      </w:r>
      <w:proofErr w:type="spellStart"/>
      <w:r w:rsidRPr="0048039C">
        <w:rPr>
          <w:i/>
          <w:color w:val="000000" w:themeColor="text1"/>
        </w:rPr>
        <w:t>idrossiclorochina</w:t>
      </w:r>
      <w:proofErr w:type="spellEnd"/>
      <w:r w:rsidRPr="0048039C">
        <w:rPr>
          <w:i/>
          <w:color w:val="000000" w:themeColor="text1"/>
        </w:rPr>
        <w:t xml:space="preserve"> DOC (p.a. </w:t>
      </w:r>
      <w:proofErr w:type="spellStart"/>
      <w:r w:rsidRPr="0048039C">
        <w:rPr>
          <w:i/>
          <w:color w:val="000000" w:themeColor="text1"/>
        </w:rPr>
        <w:t>idrossiclorochina</w:t>
      </w:r>
      <w:proofErr w:type="spellEnd"/>
      <w:r w:rsidRPr="0048039C">
        <w:rPr>
          <w:i/>
          <w:color w:val="000000" w:themeColor="text1"/>
        </w:rPr>
        <w:t>), alla cui versione integrale, pubblicata nel sito dell’AIFA, si rimanda per un’informazione completa.</w:t>
      </w:r>
    </w:p>
    <w:p w:rsidR="00C3588C" w:rsidRPr="0048039C" w:rsidRDefault="00C3588C" w:rsidP="00C3588C">
      <w:pPr>
        <w:jc w:val="both"/>
        <w:rPr>
          <w:i/>
          <w:color w:val="000000" w:themeColor="text1"/>
        </w:rPr>
      </w:pPr>
      <w:r w:rsidRPr="0048039C">
        <w:rPr>
          <w:i/>
          <w:color w:val="000000" w:themeColor="text1"/>
        </w:rPr>
        <w:t xml:space="preserve">Per i suddetti medicinali, particolare attenzione deve essere rivolta a prevenire possibili eventi avversi derivanti da interazioni farmacologiche, osservati in caso di utilizzo concomitante con alcuni medicinali/classi di farmaci. </w:t>
      </w:r>
    </w:p>
    <w:p w:rsidR="00C3588C" w:rsidRPr="0048039C" w:rsidRDefault="00C3588C" w:rsidP="00C3588C">
      <w:pPr>
        <w:jc w:val="both"/>
        <w:rPr>
          <w:i/>
          <w:color w:val="000000" w:themeColor="text1"/>
        </w:rPr>
      </w:pPr>
      <w:r w:rsidRPr="0048039C">
        <w:rPr>
          <w:i/>
          <w:color w:val="000000" w:themeColor="text1"/>
        </w:rPr>
        <w:t xml:space="preserve">Gli operatori sanitari sono tenuti a segnalare qualsiasi reazione avversa associata all'uso di Clorochina Bayer, </w:t>
      </w:r>
      <w:proofErr w:type="spellStart"/>
      <w:r w:rsidRPr="0048039C">
        <w:rPr>
          <w:i/>
          <w:color w:val="000000" w:themeColor="text1"/>
        </w:rPr>
        <w:t>Plaquenil</w:t>
      </w:r>
      <w:proofErr w:type="spellEnd"/>
      <w:r w:rsidRPr="0048039C">
        <w:rPr>
          <w:i/>
          <w:color w:val="000000" w:themeColor="text1"/>
        </w:rPr>
        <w:t xml:space="preserve"> e </w:t>
      </w:r>
      <w:proofErr w:type="spellStart"/>
      <w:r w:rsidRPr="0048039C">
        <w:rPr>
          <w:i/>
          <w:color w:val="000000" w:themeColor="text1"/>
        </w:rPr>
        <w:t>Idrossiclorochina</w:t>
      </w:r>
      <w:proofErr w:type="spellEnd"/>
      <w:r w:rsidRPr="0048039C">
        <w:rPr>
          <w:i/>
          <w:color w:val="000000" w:themeColor="text1"/>
        </w:rPr>
        <w:t xml:space="preserve"> DOC, in conformità con il sistema nazionale di segnalazione spontanea, direttamente online sul sito </w:t>
      </w:r>
      <w:r w:rsidRPr="0048039C">
        <w:rPr>
          <w:rStyle w:val="Collegamentoipertestuale"/>
          <w:i/>
          <w:color w:val="000000" w:themeColor="text1"/>
        </w:rPr>
        <w:t>http://www.vigifarmaco.it</w:t>
      </w:r>
      <w:r w:rsidRPr="0048039C">
        <w:rPr>
          <w:i/>
          <w:color w:val="000000" w:themeColor="text1"/>
        </w:rPr>
        <w:t xml:space="preserve"> o seguendo le istruzioni al link </w:t>
      </w:r>
      <w:hyperlink r:id="rId8" w:history="1">
        <w:r w:rsidRPr="0048039C">
          <w:rPr>
            <w:rStyle w:val="Collegamentoipertestuale"/>
            <w:i/>
            <w:color w:val="000000" w:themeColor="text1"/>
          </w:rPr>
          <w:t>www.agenziafarmaco.gov.it/content/come-segnalare-una-sospetta-reazione-avversa</w:t>
        </w:r>
      </w:hyperlink>
      <w:r w:rsidRPr="0048039C">
        <w:rPr>
          <w:i/>
          <w:color w:val="000000" w:themeColor="text1"/>
        </w:rPr>
        <w:t>.”</w:t>
      </w:r>
    </w:p>
    <w:p w:rsidR="002826E3" w:rsidRPr="0048039C" w:rsidRDefault="002826E3">
      <w:pPr>
        <w:rPr>
          <w:i/>
          <w:color w:val="000000" w:themeColor="text1"/>
        </w:rPr>
      </w:pPr>
    </w:p>
    <w:sectPr w:rsidR="002826E3" w:rsidRPr="0048039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7E9" w:rsidRDefault="003157E9" w:rsidP="003157E9">
      <w:pPr>
        <w:spacing w:after="0" w:line="240" w:lineRule="auto"/>
      </w:pPr>
      <w:r>
        <w:separator/>
      </w:r>
    </w:p>
  </w:endnote>
  <w:endnote w:type="continuationSeparator" w:id="0">
    <w:p w:rsidR="003157E9" w:rsidRDefault="003157E9" w:rsidP="0031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87285"/>
      <w:docPartObj>
        <w:docPartGallery w:val="Page Numbers (Bottom of Page)"/>
        <w:docPartUnique/>
      </w:docPartObj>
    </w:sdtPr>
    <w:sdtContent>
      <w:p w:rsidR="003157E9" w:rsidRDefault="003157E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di 2</w:t>
        </w:r>
      </w:p>
    </w:sdtContent>
  </w:sdt>
  <w:p w:rsidR="003157E9" w:rsidRDefault="003157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7E9" w:rsidRDefault="003157E9" w:rsidP="003157E9">
      <w:pPr>
        <w:spacing w:after="0" w:line="240" w:lineRule="auto"/>
      </w:pPr>
      <w:r>
        <w:separator/>
      </w:r>
    </w:p>
  </w:footnote>
  <w:footnote w:type="continuationSeparator" w:id="0">
    <w:p w:rsidR="003157E9" w:rsidRDefault="003157E9" w:rsidP="00315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54E19"/>
    <w:multiLevelType w:val="hybridMultilevel"/>
    <w:tmpl w:val="C19C1844"/>
    <w:lvl w:ilvl="0" w:tplc="24F8B7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8C"/>
    <w:rsid w:val="002826E3"/>
    <w:rsid w:val="002B43D6"/>
    <w:rsid w:val="003157E9"/>
    <w:rsid w:val="00377E10"/>
    <w:rsid w:val="0048039C"/>
    <w:rsid w:val="00C3588C"/>
    <w:rsid w:val="00DE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A0B13-B644-414B-A888-D485214B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588C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588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588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Collegamentoipertestuale">
    <w:name w:val="Hyperlink"/>
    <w:uiPriority w:val="99"/>
    <w:unhideWhenUsed/>
    <w:rsid w:val="00C3588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3588C"/>
    <w:pPr>
      <w:spacing w:after="0" w:line="240" w:lineRule="auto"/>
      <w:ind w:left="720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C358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3588C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157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57E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157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57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ziafarmaco.gov.it/content/come-segnalare-una-sospetta-reazione-avver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ifa.gov.it/emergenza-covid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Alisa - Azienda Ligure Sanitaria</Company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Livoti Eugenia</dc:creator>
  <cp:keywords/>
  <dc:description/>
  <cp:lastModifiedBy>Livoti Eugenia</cp:lastModifiedBy>
  <cp:revision>6</cp:revision>
  <cp:lastPrinted>2020-04-24T15:00:00Z</cp:lastPrinted>
  <dcterms:created xsi:type="dcterms:W3CDTF">2020-04-24T14:37:00Z</dcterms:created>
  <dcterms:modified xsi:type="dcterms:W3CDTF">2020-04-24T15:15:00Z</dcterms:modified>
</cp:coreProperties>
</file>